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672" w:rsidRPr="00B10F15" w:rsidRDefault="00B10F15" w:rsidP="00A06D6C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4828032</wp:posOffset>
                </wp:positionH>
                <wp:positionV relativeFrom="paragraph">
                  <wp:posOffset>-643738</wp:posOffset>
                </wp:positionV>
                <wp:extent cx="1038098" cy="299924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098" cy="299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F15" w:rsidRPr="00B10F15" w:rsidRDefault="00B10F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0F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Appendix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15pt;margin-top:-50.7pt;width:81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" fillcolor="white [3201]" stroked="f" strokeweight=".5pt">
                <v:textbox>
                  <w:txbxContent>
                    <w:p w:rsidR="00B10F15" w:rsidRPr="00B10F15" w:rsidRDefault="00B10F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B10F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Appendix  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10F15">
        <w:rPr>
          <w:rFonts w:ascii="TH SarabunPSK" w:hAnsi="TH SarabunPSK" w:cs="TH SarabunPSK"/>
          <w:b/>
          <w:bCs/>
          <w:sz w:val="32"/>
          <w:szCs w:val="32"/>
        </w:rPr>
        <w:t xml:space="preserve">Checklist for AUN-QA Assessment at </w:t>
      </w:r>
      <w:proofErr w:type="spellStart"/>
      <w:r w:rsidRPr="00B10F15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B10F15">
        <w:rPr>
          <w:rFonts w:ascii="TH SarabunPSK" w:hAnsi="TH SarabunPSK" w:cs="TH SarabunPSK"/>
          <w:b/>
          <w:bCs/>
          <w:sz w:val="32"/>
          <w:szCs w:val="32"/>
        </w:rPr>
        <w:t xml:space="preserve">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567"/>
        <w:gridCol w:w="567"/>
        <w:gridCol w:w="567"/>
        <w:gridCol w:w="567"/>
        <w:gridCol w:w="567"/>
        <w:gridCol w:w="567"/>
        <w:gridCol w:w="567"/>
      </w:tblGrid>
      <w:tr w:rsidR="00B10F15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103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Expected Learning Outcomes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103" w:type="dxa"/>
          </w:tcPr>
          <w:p w:rsidR="00B10F15" w:rsidRPr="00B10F15" w:rsidRDefault="00B10F15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 xml:space="preserve">The expected learning outcomes have been clearly formulated </w:t>
            </w:r>
            <w:r w:rsidRPr="00A13BD6">
              <w:rPr>
                <w:rFonts w:ascii="TH SarabunPSK" w:hAnsi="TH SarabunPSK" w:cs="TH SarabunPSK"/>
                <w:sz w:val="28"/>
              </w:rPr>
              <w:t>and aligned with the vision and mission of the university</w:t>
            </w:r>
            <w:r w:rsidR="00A13BD6" w:rsidRPr="00A13BD6">
              <w:rPr>
                <w:rFonts w:ascii="TH SarabunPSK" w:hAnsi="TH SarabunPSK" w:cs="TH SarabunPSK"/>
                <w:sz w:val="28"/>
              </w:rPr>
              <w:t xml:space="preserve"> [1,2]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103" w:type="dxa"/>
          </w:tcPr>
          <w:p w:rsidR="00B10F15" w:rsidRPr="00B10F15" w:rsidRDefault="00B10F15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expected learning outcomes cover both subject specific and generic (i.e. transferable) learning outcomes [3]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103" w:type="dxa"/>
          </w:tcPr>
          <w:p w:rsidR="00B10F15" w:rsidRPr="00B10F15" w:rsidRDefault="00B10F15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expected learning outcomes clearly reflect the requirements of the stakeholders [4]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03" w:type="dxa"/>
          </w:tcPr>
          <w:p w:rsidR="00B10F15" w:rsidRPr="00B10F15" w:rsidRDefault="00B10F15" w:rsidP="00B10F15">
            <w:pPr>
              <w:tabs>
                <w:tab w:val="left" w:pos="1185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Overall  Opinion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103" w:type="dxa"/>
          </w:tcPr>
          <w:p w:rsidR="00B10F15" w:rsidRPr="00B10F15" w:rsidRDefault="00B10F15" w:rsidP="00D306D4">
            <w:pPr>
              <w:tabs>
                <w:tab w:val="left" w:pos="118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Programme</w:t>
            </w:r>
            <w:proofErr w:type="spellEnd"/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 xml:space="preserve"> Specification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5103" w:type="dxa"/>
          </w:tcPr>
          <w:p w:rsidR="00B10F15" w:rsidRPr="00B10F15" w:rsidRDefault="00B10F15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 xml:space="preserve">The information in the </w:t>
            </w:r>
            <w:proofErr w:type="spellStart"/>
            <w:r w:rsidRPr="00B10F15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B10F15">
              <w:rPr>
                <w:rFonts w:ascii="TH SarabunPSK" w:hAnsi="TH SarabunPSK" w:cs="TH SarabunPSK"/>
                <w:sz w:val="28"/>
              </w:rPr>
              <w:t xml:space="preserve"> specification is comprehensive and up-to-date</w:t>
            </w:r>
            <w:r w:rsidR="008A3CCB">
              <w:rPr>
                <w:rFonts w:ascii="TH SarabunPSK" w:hAnsi="TH SarabunPSK" w:cs="TH SarabunPSK"/>
                <w:sz w:val="28"/>
              </w:rPr>
              <w:t xml:space="preserve"> </w:t>
            </w:r>
            <w:r w:rsidRPr="00B10F15">
              <w:rPr>
                <w:rFonts w:ascii="TH SarabunPSK" w:hAnsi="TH SarabunPSK" w:cs="TH SarabunPSK"/>
                <w:sz w:val="28"/>
              </w:rPr>
              <w:t>[1, 2]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103" w:type="dxa"/>
          </w:tcPr>
          <w:p w:rsidR="00B10F15" w:rsidRPr="00B10F15" w:rsidRDefault="00B10F15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information in the course specification is comprehensive and up-to-date [1, 2]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5103" w:type="dxa"/>
          </w:tcPr>
          <w:p w:rsidR="00B10F15" w:rsidRPr="00B10F15" w:rsidRDefault="00B10F15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 xml:space="preserve">The </w:t>
            </w:r>
            <w:proofErr w:type="spellStart"/>
            <w:r w:rsidRPr="00B10F15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B10F15">
              <w:rPr>
                <w:rFonts w:ascii="TH SarabunPSK" w:hAnsi="TH SarabunPSK" w:cs="TH SarabunPSK"/>
                <w:sz w:val="28"/>
              </w:rPr>
              <w:t xml:space="preserve"> and course specification are communicated and made available to the stakeholders [1, 2]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B10F15" w:rsidRPr="00B10F15" w:rsidRDefault="00B10F15" w:rsidP="00B10F15">
            <w:pPr>
              <w:tabs>
                <w:tab w:val="left" w:pos="1185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Overall  Opinion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103" w:type="dxa"/>
          </w:tcPr>
          <w:p w:rsidR="00B10F15" w:rsidRPr="00B10F15" w:rsidRDefault="00B10F15" w:rsidP="00D306D4">
            <w:pPr>
              <w:tabs>
                <w:tab w:val="left" w:pos="118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Programme</w:t>
            </w:r>
            <w:proofErr w:type="spellEnd"/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 xml:space="preserve"> Structure and Content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3.1</w:t>
            </w:r>
          </w:p>
        </w:tc>
        <w:tc>
          <w:tcPr>
            <w:tcW w:w="5103" w:type="dxa"/>
          </w:tcPr>
          <w:p w:rsidR="00B10F15" w:rsidRPr="00B10F15" w:rsidRDefault="00B10F15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curriculum is designed based on constructive alignment with the expected learning outcomes [1]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5103" w:type="dxa"/>
          </w:tcPr>
          <w:p w:rsidR="00B10F15" w:rsidRPr="00B10F15" w:rsidRDefault="00B10F15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contribution made by each course to achieve the expected learning outcomes is clear [2]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5103" w:type="dxa"/>
          </w:tcPr>
          <w:p w:rsidR="00B10F15" w:rsidRPr="00B10F15" w:rsidRDefault="00B10F15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curriculum is logically structured, sequenced, integrated and up-to-date [3, 4, 5, 6]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B10F15" w:rsidRPr="00B10F15" w:rsidRDefault="00B10F15" w:rsidP="00B10F15">
            <w:pPr>
              <w:tabs>
                <w:tab w:val="left" w:pos="1185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Overall  Opinion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103" w:type="dxa"/>
          </w:tcPr>
          <w:p w:rsidR="00B10F15" w:rsidRPr="00B10F15" w:rsidRDefault="00B10F15" w:rsidP="00D306D4">
            <w:pPr>
              <w:tabs>
                <w:tab w:val="left" w:pos="118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Teaching and Learning Approach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103" w:type="dxa"/>
          </w:tcPr>
          <w:p w:rsidR="00B10F15" w:rsidRPr="00B10F15" w:rsidRDefault="00B10F15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educational philosophy is well articulated and communicated to all stakeholders [1]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103" w:type="dxa"/>
          </w:tcPr>
          <w:p w:rsidR="008A3CCB" w:rsidRDefault="00B10F15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 xml:space="preserve">Teaching and learning activities are constructively aligned to the achievement of the expected learning outcomes </w:t>
            </w:r>
          </w:p>
          <w:p w:rsidR="00B10F15" w:rsidRPr="00B10F15" w:rsidRDefault="00B10F15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[2, 3, 4, 5]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5103" w:type="dxa"/>
          </w:tcPr>
          <w:p w:rsidR="00B10F15" w:rsidRPr="00B10F15" w:rsidRDefault="00B10F15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Teaching and learning activities enhance life-long learning [6]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34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B10F15" w:rsidRPr="00B10F15" w:rsidRDefault="00B10F15" w:rsidP="00B10F15">
            <w:pPr>
              <w:tabs>
                <w:tab w:val="left" w:pos="1185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Overall  Opinion</w:t>
            </w: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0F15" w:rsidRPr="00B10F15" w:rsidRDefault="00B10F15" w:rsidP="00B10F1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D7CEA" w:rsidRDefault="00BD7CEA" w:rsidP="00B10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567"/>
        <w:gridCol w:w="567"/>
        <w:gridCol w:w="567"/>
        <w:gridCol w:w="567"/>
        <w:gridCol w:w="567"/>
        <w:gridCol w:w="567"/>
        <w:gridCol w:w="567"/>
      </w:tblGrid>
      <w:tr w:rsidR="00A06D6C" w:rsidRPr="00B10F15" w:rsidTr="00D306D4">
        <w:tc>
          <w:tcPr>
            <w:tcW w:w="534" w:type="dxa"/>
          </w:tcPr>
          <w:p w:rsidR="00A06D6C" w:rsidRPr="003455A9" w:rsidRDefault="00A06D6C" w:rsidP="00D306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5A9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A06D6C" w:rsidRPr="003455A9" w:rsidRDefault="00A06D6C" w:rsidP="00D306D4">
            <w:pPr>
              <w:tabs>
                <w:tab w:val="left" w:pos="118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5A9">
              <w:rPr>
                <w:rFonts w:ascii="TH SarabunPSK" w:hAnsi="TH SarabunPSK" w:cs="TH SarabunPSK"/>
                <w:b/>
                <w:bCs/>
                <w:sz w:val="28"/>
              </w:rPr>
              <w:t>Student Assessment</w:t>
            </w:r>
          </w:p>
        </w:tc>
        <w:tc>
          <w:tcPr>
            <w:tcW w:w="567" w:type="dxa"/>
          </w:tcPr>
          <w:p w:rsidR="00A06D6C" w:rsidRPr="008A3CCB" w:rsidRDefault="00A06D6C" w:rsidP="00D306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A06D6C" w:rsidRPr="008A3CCB" w:rsidRDefault="00A06D6C" w:rsidP="00D306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A06D6C" w:rsidRPr="008A3CCB" w:rsidRDefault="00A06D6C" w:rsidP="00D306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A06D6C" w:rsidRPr="008A3CCB" w:rsidRDefault="00A06D6C" w:rsidP="00D306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67" w:type="dxa"/>
          </w:tcPr>
          <w:p w:rsidR="00A06D6C" w:rsidRPr="008A3CCB" w:rsidRDefault="00A06D6C" w:rsidP="00D306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67" w:type="dxa"/>
          </w:tcPr>
          <w:p w:rsidR="00A06D6C" w:rsidRPr="008A3CCB" w:rsidRDefault="00A06D6C" w:rsidP="00D306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67" w:type="dxa"/>
          </w:tcPr>
          <w:p w:rsidR="00A06D6C" w:rsidRPr="008A3CCB" w:rsidRDefault="00A06D6C" w:rsidP="00D306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</w:tr>
      <w:tr w:rsidR="00A06D6C" w:rsidRPr="00B10F15" w:rsidTr="00D306D4">
        <w:tc>
          <w:tcPr>
            <w:tcW w:w="534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5.1</w:t>
            </w:r>
          </w:p>
        </w:tc>
        <w:tc>
          <w:tcPr>
            <w:tcW w:w="5103" w:type="dxa"/>
          </w:tcPr>
          <w:p w:rsidR="00A06D6C" w:rsidRPr="00B10F15" w:rsidRDefault="00A06D6C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student assessment is constructively aligned to the achievement of the expected learning outcomes [1, 2]</w:t>
            </w: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6D6C" w:rsidRPr="00B10F15" w:rsidTr="00D306D4">
        <w:tc>
          <w:tcPr>
            <w:tcW w:w="534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5103" w:type="dxa"/>
          </w:tcPr>
          <w:p w:rsidR="00A06D6C" w:rsidRPr="00B10F15" w:rsidRDefault="00A06D6C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student assessments including timelines, methods, regulations, weight distribution, rubrics and grading are explicit and communicated to students [4, 5]</w:t>
            </w: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6D6C" w:rsidRPr="00B10F15" w:rsidTr="00D306D4">
        <w:tc>
          <w:tcPr>
            <w:tcW w:w="534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5.3</w:t>
            </w:r>
          </w:p>
        </w:tc>
        <w:tc>
          <w:tcPr>
            <w:tcW w:w="5103" w:type="dxa"/>
          </w:tcPr>
          <w:p w:rsidR="00A06D6C" w:rsidRPr="00B10F15" w:rsidRDefault="00A06D6C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Methods including assessment rubrics and marking schemes are used to ensure validity, reliability and fairness of student assessment [6, 7]</w:t>
            </w: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6D6C" w:rsidRPr="00B10F15" w:rsidTr="00D306D4">
        <w:tc>
          <w:tcPr>
            <w:tcW w:w="534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5.4</w:t>
            </w:r>
          </w:p>
        </w:tc>
        <w:tc>
          <w:tcPr>
            <w:tcW w:w="5103" w:type="dxa"/>
          </w:tcPr>
          <w:p w:rsidR="00A06D6C" w:rsidRPr="00B10F15" w:rsidRDefault="00A06D6C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Feedback of student assessment is timely and helps to improve learning [3]</w:t>
            </w: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6D6C" w:rsidRPr="00B10F15" w:rsidTr="00D306D4">
        <w:tc>
          <w:tcPr>
            <w:tcW w:w="534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5.5</w:t>
            </w:r>
          </w:p>
        </w:tc>
        <w:tc>
          <w:tcPr>
            <w:tcW w:w="5103" w:type="dxa"/>
          </w:tcPr>
          <w:p w:rsidR="00A06D6C" w:rsidRPr="00B10F15" w:rsidRDefault="00A06D6C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Students have ready access to appeal procedure [8]</w:t>
            </w: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6D6C" w:rsidRPr="00B10F15" w:rsidTr="00D306D4">
        <w:tc>
          <w:tcPr>
            <w:tcW w:w="534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A06D6C" w:rsidRPr="00B10F15" w:rsidRDefault="00A06D6C" w:rsidP="00D306D4">
            <w:pPr>
              <w:tabs>
                <w:tab w:val="left" w:pos="1185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Overall  Opinion</w:t>
            </w: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6D6C" w:rsidRPr="00B10F15" w:rsidTr="00D306D4">
        <w:tc>
          <w:tcPr>
            <w:tcW w:w="534" w:type="dxa"/>
          </w:tcPr>
          <w:p w:rsidR="00A06D6C" w:rsidRPr="003455A9" w:rsidRDefault="00A06D6C" w:rsidP="00D306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5A9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103" w:type="dxa"/>
          </w:tcPr>
          <w:p w:rsidR="00A06D6C" w:rsidRPr="003455A9" w:rsidRDefault="00A06D6C" w:rsidP="00D306D4">
            <w:pPr>
              <w:tabs>
                <w:tab w:val="left" w:pos="118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5A9">
              <w:rPr>
                <w:rFonts w:ascii="TH SarabunPSK" w:hAnsi="TH SarabunPSK" w:cs="TH SarabunPSK"/>
                <w:b/>
                <w:bCs/>
                <w:sz w:val="28"/>
              </w:rPr>
              <w:t>Academic Staff Quality</w:t>
            </w: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6D6C" w:rsidRPr="00B10F15" w:rsidTr="00D306D4">
        <w:tc>
          <w:tcPr>
            <w:tcW w:w="534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6.1</w:t>
            </w:r>
          </w:p>
        </w:tc>
        <w:tc>
          <w:tcPr>
            <w:tcW w:w="5103" w:type="dxa"/>
          </w:tcPr>
          <w:p w:rsidR="00A06D6C" w:rsidRPr="00B10F15" w:rsidRDefault="00A06D6C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Academic staff planning (considering succession, promotion, re-deployment, termination, and retirement) is carried out to fulfil the needs for education, research and service [1]</w:t>
            </w: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6D6C" w:rsidRPr="00B10F15" w:rsidTr="00D306D4">
        <w:tc>
          <w:tcPr>
            <w:tcW w:w="534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6.2</w:t>
            </w:r>
          </w:p>
        </w:tc>
        <w:tc>
          <w:tcPr>
            <w:tcW w:w="5103" w:type="dxa"/>
          </w:tcPr>
          <w:p w:rsidR="00A06D6C" w:rsidRPr="00B10F15" w:rsidRDefault="00A06D6C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Staff-to-student ratio and workload are measured and monitored to improve the quality of education, research and service [2]</w:t>
            </w: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6D6C" w:rsidRPr="00B10F15" w:rsidTr="00D306D4">
        <w:tc>
          <w:tcPr>
            <w:tcW w:w="534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6.3</w:t>
            </w:r>
          </w:p>
        </w:tc>
        <w:tc>
          <w:tcPr>
            <w:tcW w:w="5103" w:type="dxa"/>
          </w:tcPr>
          <w:p w:rsidR="00A06D6C" w:rsidRPr="00B10F15" w:rsidRDefault="00A06D6C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Recruitment and selection criteria including ethics and academic freedom for appointment, deployment and promotion are determined and communicated</w:t>
            </w:r>
          </w:p>
          <w:p w:rsidR="00A06D6C" w:rsidRPr="00B10F15" w:rsidRDefault="00A06D6C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[4, 5, 6, 7]</w:t>
            </w: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6D6C" w:rsidRPr="00B10F15" w:rsidTr="00D306D4">
        <w:tc>
          <w:tcPr>
            <w:tcW w:w="534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6.4</w:t>
            </w:r>
          </w:p>
        </w:tc>
        <w:tc>
          <w:tcPr>
            <w:tcW w:w="5103" w:type="dxa"/>
          </w:tcPr>
          <w:p w:rsidR="00A06D6C" w:rsidRPr="00B10F15" w:rsidRDefault="00A06D6C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6.4 Competences of academic staff are identified and evaluated [3]</w:t>
            </w: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6D6C" w:rsidRPr="00B10F15" w:rsidTr="00D306D4">
        <w:tc>
          <w:tcPr>
            <w:tcW w:w="534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6.5</w:t>
            </w:r>
          </w:p>
        </w:tc>
        <w:tc>
          <w:tcPr>
            <w:tcW w:w="5103" w:type="dxa"/>
          </w:tcPr>
          <w:p w:rsidR="00A06D6C" w:rsidRPr="00B10F15" w:rsidRDefault="00A06D6C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Training and developmental needs of academic staff are identified and activities are implemented to fulfil them [8]</w:t>
            </w: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6D6C" w:rsidRPr="00B10F15" w:rsidTr="00D306D4">
        <w:tc>
          <w:tcPr>
            <w:tcW w:w="534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6.6</w:t>
            </w:r>
          </w:p>
        </w:tc>
        <w:tc>
          <w:tcPr>
            <w:tcW w:w="5103" w:type="dxa"/>
          </w:tcPr>
          <w:p w:rsidR="00A06D6C" w:rsidRPr="00B10F15" w:rsidRDefault="00A06D6C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Performance management including rewards and recognition is implemented to motivate and support education, research and service [9]</w:t>
            </w: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6D6C" w:rsidRPr="00B10F15" w:rsidTr="00D306D4">
        <w:tc>
          <w:tcPr>
            <w:tcW w:w="534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6.7</w:t>
            </w:r>
          </w:p>
        </w:tc>
        <w:tc>
          <w:tcPr>
            <w:tcW w:w="5103" w:type="dxa"/>
          </w:tcPr>
          <w:p w:rsidR="00A06D6C" w:rsidRPr="00B10F15" w:rsidRDefault="00A06D6C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types and quantity of research activities by academic staff are established, monitored and benchmarked for improvement [10]</w:t>
            </w: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6D6C" w:rsidRPr="00B10F15" w:rsidTr="00D306D4">
        <w:tc>
          <w:tcPr>
            <w:tcW w:w="534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A06D6C" w:rsidRPr="00B10F15" w:rsidRDefault="00A06D6C" w:rsidP="00D306D4">
            <w:pPr>
              <w:tabs>
                <w:tab w:val="left" w:pos="1185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Overall  Opinion</w:t>
            </w: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06D6C" w:rsidRPr="00B10F15" w:rsidRDefault="00A06D6C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6D6C" w:rsidRDefault="00A06D6C" w:rsidP="00B10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567"/>
        <w:gridCol w:w="567"/>
        <w:gridCol w:w="567"/>
        <w:gridCol w:w="567"/>
        <w:gridCol w:w="567"/>
        <w:gridCol w:w="567"/>
        <w:gridCol w:w="567"/>
      </w:tblGrid>
      <w:tr w:rsidR="008A3CCB" w:rsidRPr="00B10F15" w:rsidTr="00D306D4">
        <w:tc>
          <w:tcPr>
            <w:tcW w:w="534" w:type="dxa"/>
          </w:tcPr>
          <w:p w:rsidR="008A3CCB" w:rsidRPr="003455A9" w:rsidRDefault="008A3CCB" w:rsidP="00D306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5A9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8A3CCB" w:rsidRPr="003455A9" w:rsidRDefault="003455A9" w:rsidP="00D306D4">
            <w:pPr>
              <w:tabs>
                <w:tab w:val="left" w:pos="118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5A9">
              <w:rPr>
                <w:rFonts w:ascii="TH SarabunPSK" w:hAnsi="TH SarabunPSK" w:cs="TH SarabunPSK"/>
                <w:b/>
                <w:bCs/>
                <w:sz w:val="28"/>
              </w:rPr>
              <w:t>Support Staff Quality</w:t>
            </w:r>
          </w:p>
        </w:tc>
        <w:tc>
          <w:tcPr>
            <w:tcW w:w="567" w:type="dxa"/>
          </w:tcPr>
          <w:p w:rsidR="008A3CCB" w:rsidRPr="008A3CCB" w:rsidRDefault="008A3CCB" w:rsidP="00D306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3CC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8A3CCB" w:rsidRPr="008A3CCB" w:rsidRDefault="008A3CCB" w:rsidP="00D306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3CC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8A3CCB" w:rsidRPr="008A3CCB" w:rsidRDefault="008A3CCB" w:rsidP="00D306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3CC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8A3CCB" w:rsidRPr="008A3CCB" w:rsidRDefault="008A3CCB" w:rsidP="00D306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3CC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67" w:type="dxa"/>
          </w:tcPr>
          <w:p w:rsidR="008A3CCB" w:rsidRPr="008A3CCB" w:rsidRDefault="008A3CCB" w:rsidP="00D306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3CC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67" w:type="dxa"/>
          </w:tcPr>
          <w:p w:rsidR="008A3CCB" w:rsidRPr="008A3CCB" w:rsidRDefault="008A3CCB" w:rsidP="00D306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3CC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67" w:type="dxa"/>
          </w:tcPr>
          <w:p w:rsidR="008A3CCB" w:rsidRPr="008A3CCB" w:rsidRDefault="008A3CCB" w:rsidP="00D306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3CC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7.1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Support staff planning (at the library, laboratory, IT facility and student services) is carried out to fulfil the needs for education, research and service [1]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7.2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Recruitment and selection criteria for appointment, deployment and promotion are determined and communicated [2]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7.3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Competences of support staff are identified and evaluated [3]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7.4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Training and developmental needs of support staff are identified and activities are implemented to fulfil them [4]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7.5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Performance management including rewards and recognition is implemented to motivate and support education, research and service [5]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Overall  Opinion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D306D4">
        <w:tc>
          <w:tcPr>
            <w:tcW w:w="534" w:type="dxa"/>
          </w:tcPr>
          <w:p w:rsidR="008A3CCB" w:rsidRPr="003455A9" w:rsidRDefault="008A3CCB" w:rsidP="00D306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5A9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5103" w:type="dxa"/>
          </w:tcPr>
          <w:p w:rsidR="008A3CCB" w:rsidRPr="003455A9" w:rsidRDefault="003455A9" w:rsidP="00D306D4">
            <w:pPr>
              <w:tabs>
                <w:tab w:val="left" w:pos="118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5A9">
              <w:rPr>
                <w:rFonts w:ascii="TH SarabunPSK" w:hAnsi="TH SarabunPSK" w:cs="TH SarabunPSK"/>
                <w:b/>
                <w:bCs/>
                <w:sz w:val="28"/>
              </w:rPr>
              <w:t>Student Quality and Support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8.1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student intake policy and admission criteria are defined, communicated, published, and up-to-date [1]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8.2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methods and criteria for the selection of students are determined and evaluated [2]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8.3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There is an adequate monitoring system for student progress, academic performance, and workload [3]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8.4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Academic advice, co-curricular activities, student competition, and other student support services are available to improve learning and employability [4]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8.5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physical, social and psychological environment is conducive for education and research as well as personal well-being [5]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Overall  Opinion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A3CCB" w:rsidRDefault="008A3CCB" w:rsidP="00B10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3CCB" w:rsidRDefault="008A3CCB" w:rsidP="00B10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3CCB" w:rsidRDefault="008A3CCB" w:rsidP="00B10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3CCB" w:rsidRDefault="008A3CCB" w:rsidP="00B10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3CCB" w:rsidRDefault="008A3CCB" w:rsidP="00B10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3CCB" w:rsidRDefault="008A3CCB" w:rsidP="00B10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3CCB" w:rsidRDefault="008A3CCB" w:rsidP="00B10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5103"/>
        <w:gridCol w:w="567"/>
        <w:gridCol w:w="567"/>
        <w:gridCol w:w="567"/>
        <w:gridCol w:w="567"/>
        <w:gridCol w:w="567"/>
        <w:gridCol w:w="567"/>
        <w:gridCol w:w="567"/>
      </w:tblGrid>
      <w:tr w:rsidR="008A3CCB" w:rsidRPr="00B10F15" w:rsidTr="008A3CCB">
        <w:tc>
          <w:tcPr>
            <w:tcW w:w="566" w:type="dxa"/>
          </w:tcPr>
          <w:p w:rsidR="008A3CCB" w:rsidRPr="003455A9" w:rsidRDefault="008A3CCB" w:rsidP="00D306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5A9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9</w:t>
            </w:r>
          </w:p>
        </w:tc>
        <w:tc>
          <w:tcPr>
            <w:tcW w:w="5103" w:type="dxa"/>
          </w:tcPr>
          <w:p w:rsidR="008A3CCB" w:rsidRPr="003455A9" w:rsidRDefault="003455A9" w:rsidP="00D306D4">
            <w:pPr>
              <w:tabs>
                <w:tab w:val="left" w:pos="118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5A9">
              <w:rPr>
                <w:rFonts w:ascii="TH SarabunPSK" w:hAnsi="TH SarabunPSK" w:cs="TH SarabunPSK"/>
                <w:b/>
                <w:bCs/>
                <w:sz w:val="28"/>
              </w:rPr>
              <w:t>Facilities and infrastructure</w:t>
            </w:r>
          </w:p>
        </w:tc>
        <w:tc>
          <w:tcPr>
            <w:tcW w:w="567" w:type="dxa"/>
          </w:tcPr>
          <w:p w:rsidR="008A3CCB" w:rsidRPr="003455A9" w:rsidRDefault="003455A9" w:rsidP="003455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8A3CCB" w:rsidRPr="003455A9" w:rsidRDefault="003455A9" w:rsidP="003455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8A3CCB" w:rsidRPr="003455A9" w:rsidRDefault="003455A9" w:rsidP="003455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8A3CCB" w:rsidRPr="003455A9" w:rsidRDefault="003455A9" w:rsidP="003455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67" w:type="dxa"/>
          </w:tcPr>
          <w:p w:rsidR="008A3CCB" w:rsidRPr="003455A9" w:rsidRDefault="003455A9" w:rsidP="003455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67" w:type="dxa"/>
          </w:tcPr>
          <w:p w:rsidR="008A3CCB" w:rsidRPr="003455A9" w:rsidRDefault="003455A9" w:rsidP="003455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67" w:type="dxa"/>
          </w:tcPr>
          <w:p w:rsidR="008A3CCB" w:rsidRPr="003455A9" w:rsidRDefault="003455A9" w:rsidP="003455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</w:tr>
      <w:tr w:rsidR="008A3CCB" w:rsidRPr="00B10F15" w:rsidTr="008A3CCB">
        <w:tc>
          <w:tcPr>
            <w:tcW w:w="566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9.1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teaching and learning facilities and equipment (lecture halls, classrooms, project rooms, etc.) are adequate and update to support education and research [1]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66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9.2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library and its resources are adequate and updated to support education and research [3, 4]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66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9.3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laboratories and equipment are adequate and updated to support education and research [1, 2]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66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9.4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IT facilities including e-learning infrastructure are adequate and updated to support education and research [1, 5, 6]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66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9.5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standards for environment, health and safety, and access for people with special needs are defined and implemented [7]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66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Overall  Opinion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66" w:type="dxa"/>
          </w:tcPr>
          <w:p w:rsidR="008A3CCB" w:rsidRPr="003455A9" w:rsidRDefault="008A3CCB" w:rsidP="00D306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5A9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5103" w:type="dxa"/>
          </w:tcPr>
          <w:p w:rsidR="008A3CCB" w:rsidRPr="003455A9" w:rsidRDefault="003455A9" w:rsidP="00D306D4">
            <w:pPr>
              <w:tabs>
                <w:tab w:val="left" w:pos="118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5A9">
              <w:rPr>
                <w:rFonts w:ascii="TH SarabunPSK" w:hAnsi="TH SarabunPSK" w:cs="TH SarabunPSK"/>
                <w:b/>
                <w:bCs/>
                <w:sz w:val="28"/>
              </w:rPr>
              <w:t>Quality Enhancement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66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10.1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Stakeholders needs and feedback serve as input to curriculum design and development [1]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66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10.2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curriculum design and development process is established and subjected to evaluation and enhancement [2]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66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10.3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teaching and learning processes and student assessment are continuously reviewed and evaluated to ensure their relevance and alignment [3]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66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10.4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Research output is used to enhance teaching and learning [4]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66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10.5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Quality of support services and facilities (at the library, laboratory, IT facility and student services) is subjected to evaluation and enhancement [5]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66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10.6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stakeholder’s feedback mechanisms are systematic and subjected to evaluation and enhancement [6]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8A3CCB">
        <w:tc>
          <w:tcPr>
            <w:tcW w:w="566" w:type="dxa"/>
          </w:tcPr>
          <w:p w:rsidR="008A3CCB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8A3CCB" w:rsidRPr="00B10F15" w:rsidRDefault="008A3CCB" w:rsidP="008A3CCB">
            <w:pPr>
              <w:tabs>
                <w:tab w:val="left" w:pos="1185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b/>
                <w:bCs/>
                <w:sz w:val="28"/>
              </w:rPr>
              <w:t>Overall  Opinion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A3CCB" w:rsidRDefault="008A3CCB" w:rsidP="00B10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3CCB" w:rsidRDefault="008A3CCB" w:rsidP="00B10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3CCB" w:rsidRDefault="008A3CCB" w:rsidP="00B10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3C7" w:rsidRDefault="00EE13C7" w:rsidP="00B10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3CCB" w:rsidRDefault="008A3CCB" w:rsidP="00B10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5103"/>
        <w:gridCol w:w="567"/>
        <w:gridCol w:w="567"/>
        <w:gridCol w:w="567"/>
        <w:gridCol w:w="567"/>
        <w:gridCol w:w="567"/>
        <w:gridCol w:w="567"/>
        <w:gridCol w:w="567"/>
      </w:tblGrid>
      <w:tr w:rsidR="008A3CCB" w:rsidRPr="00B10F15" w:rsidTr="00D306D4">
        <w:tc>
          <w:tcPr>
            <w:tcW w:w="534" w:type="dxa"/>
          </w:tcPr>
          <w:p w:rsidR="008A3CCB" w:rsidRPr="003455A9" w:rsidRDefault="008A3CCB" w:rsidP="00D306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5A9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11</w:t>
            </w:r>
          </w:p>
        </w:tc>
        <w:tc>
          <w:tcPr>
            <w:tcW w:w="5103" w:type="dxa"/>
          </w:tcPr>
          <w:p w:rsidR="008A3CCB" w:rsidRPr="003455A9" w:rsidRDefault="003455A9" w:rsidP="003455A9">
            <w:pPr>
              <w:tabs>
                <w:tab w:val="left" w:pos="118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5A9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567" w:type="dxa"/>
          </w:tcPr>
          <w:p w:rsidR="008A3CCB" w:rsidRPr="008A3CCB" w:rsidRDefault="008A3CCB" w:rsidP="008A3C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8A3CCB" w:rsidRPr="008A3CCB" w:rsidRDefault="008A3CCB" w:rsidP="008A3C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8A3CCB" w:rsidRPr="008A3CCB" w:rsidRDefault="008A3CCB" w:rsidP="008A3C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8A3CCB" w:rsidRPr="008A3CCB" w:rsidRDefault="008A3CCB" w:rsidP="008A3C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67" w:type="dxa"/>
          </w:tcPr>
          <w:p w:rsidR="008A3CCB" w:rsidRPr="008A3CCB" w:rsidRDefault="008A3CCB" w:rsidP="008A3C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67" w:type="dxa"/>
          </w:tcPr>
          <w:p w:rsidR="008A3CCB" w:rsidRPr="008A3CCB" w:rsidRDefault="008A3CCB" w:rsidP="008A3C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67" w:type="dxa"/>
          </w:tcPr>
          <w:p w:rsidR="008A3CCB" w:rsidRPr="008A3CCB" w:rsidRDefault="008A3CCB" w:rsidP="008A3C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11.1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pass rates and dropout rates are established, monitored and benchmarked for improvement [1]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11.2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average time to graduate is established, monitored and benchmarked for improvement [1]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11.3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Employability of graduates is established, monitored and benchmarked for improvement [1]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11.4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types and quantity of research activities by students are established, monitored and benchmarked for improvement [2]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3CCB" w:rsidRPr="00B10F15" w:rsidTr="00D306D4">
        <w:tc>
          <w:tcPr>
            <w:tcW w:w="534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11.5</w:t>
            </w:r>
          </w:p>
        </w:tc>
        <w:tc>
          <w:tcPr>
            <w:tcW w:w="5103" w:type="dxa"/>
          </w:tcPr>
          <w:p w:rsidR="008A3CCB" w:rsidRPr="00B10F15" w:rsidRDefault="008A3CCB" w:rsidP="00D306D4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B10F15">
              <w:rPr>
                <w:rFonts w:ascii="TH SarabunPSK" w:hAnsi="TH SarabunPSK" w:cs="TH SarabunPSK"/>
                <w:sz w:val="28"/>
              </w:rPr>
              <w:t>The satisfaction levels of stakeholders are established, monitored and benchmarked for improvement [3]</w:t>
            </w: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CCB" w:rsidRPr="00B10F15" w:rsidRDefault="008A3CCB" w:rsidP="00D306D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A3CCB" w:rsidRPr="00B10F15" w:rsidRDefault="008A3CCB" w:rsidP="00B10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A3CCB" w:rsidRPr="00B10F15" w:rsidSect="008A3CCB">
      <w:pgSz w:w="11906" w:h="16838"/>
      <w:pgMar w:top="1440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F15"/>
    <w:rsid w:val="000A0590"/>
    <w:rsid w:val="003455A9"/>
    <w:rsid w:val="0038462D"/>
    <w:rsid w:val="00625170"/>
    <w:rsid w:val="008A3CCB"/>
    <w:rsid w:val="00A06D6C"/>
    <w:rsid w:val="00A13BD6"/>
    <w:rsid w:val="00B10F15"/>
    <w:rsid w:val="00BD7CEA"/>
    <w:rsid w:val="00DC7EAF"/>
    <w:rsid w:val="00E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F1485-C934-9C49-9949-74C985ED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theesit_k</cp:lastModifiedBy>
  <cp:revision>2</cp:revision>
  <dcterms:created xsi:type="dcterms:W3CDTF">2021-06-26T07:13:00Z</dcterms:created>
  <dcterms:modified xsi:type="dcterms:W3CDTF">2021-06-26T07:13:00Z</dcterms:modified>
</cp:coreProperties>
</file>